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7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28"/>
        <w:gridCol w:w="1135"/>
        <w:gridCol w:w="4664"/>
        <w:gridCol w:w="301"/>
        <w:gridCol w:w="405"/>
        <w:gridCol w:w="435"/>
        <w:gridCol w:w="405"/>
        <w:gridCol w:w="405"/>
        <w:gridCol w:w="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728" w:type="dxa"/>
            <w:gridSpan w:val="9"/>
            <w:tcBorders>
              <w:top w:val="single" w:color="A7A7A7" w:sz="6" w:space="0"/>
              <w:left w:val="single" w:color="A7A7A7" w:sz="6" w:space="0"/>
              <w:bottom w:val="single" w:color="A7A7A7" w:sz="6" w:space="0"/>
              <w:right w:val="single" w:color="A7A7A7" w:sz="6" w:space="0"/>
            </w:tcBorders>
            <w:shd w:val="clear" w:color="auto" w:fill="F8F8F8"/>
            <w:vAlign w:val="center"/>
          </w:tcPr>
          <w:p>
            <w:pPr>
              <w:jc w:val="center"/>
              <w:rPr>
                <w:lang w:val="en-US"/>
              </w:rPr>
            </w:pPr>
            <w:r>
              <w:rPr>
                <w:rFonts w:hint="eastAsia"/>
                <w:lang w:val="en-US" w:eastAsia="zh-CN"/>
              </w:rPr>
              <w:t>在线开放课程验收标准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528" w:type="dxa"/>
            <w:vMerge w:val="restart"/>
            <w:tcBorders>
              <w:top w:val="single" w:color="A7A7A7" w:sz="6" w:space="0"/>
              <w:left w:val="single" w:color="A7A7A7" w:sz="6" w:space="0"/>
              <w:bottom w:val="single" w:color="A7A7A7" w:sz="6" w:space="0"/>
              <w:right w:val="single" w:color="A7A7A7" w:sz="6" w:space="0"/>
            </w:tcBorders>
            <w:shd w:val="clear" w:color="auto" w:fill="F8F8F8"/>
            <w:vAlign w:val="center"/>
          </w:tcPr>
          <w:p>
            <w:pPr>
              <w:jc w:val="center"/>
            </w:pPr>
            <w:r>
              <w:rPr>
                <w:rFonts w:hint="eastAsia"/>
                <w:lang w:val="en-US" w:eastAsia="zh-CN"/>
              </w:rPr>
              <w:t>一级指标</w:t>
            </w:r>
          </w:p>
        </w:tc>
        <w:tc>
          <w:tcPr>
            <w:tcW w:w="1135" w:type="dxa"/>
            <w:vMerge w:val="restart"/>
            <w:tcBorders>
              <w:top w:val="single" w:color="A7A7A7" w:sz="6" w:space="0"/>
              <w:left w:val="single" w:color="A7A7A7" w:sz="6" w:space="0"/>
              <w:bottom w:val="single" w:color="A7A7A7" w:sz="6" w:space="0"/>
              <w:right w:val="single" w:color="A7A7A7" w:sz="6" w:space="0"/>
            </w:tcBorders>
            <w:shd w:val="clear" w:color="auto" w:fill="F8F8F8"/>
            <w:vAlign w:val="center"/>
          </w:tcPr>
          <w:p>
            <w:pPr>
              <w:jc w:val="center"/>
            </w:pPr>
            <w:r>
              <w:rPr>
                <w:rFonts w:hint="eastAsia"/>
                <w:lang w:val="en-US" w:eastAsia="zh-CN"/>
              </w:rPr>
              <w:t>二级指标</w:t>
            </w:r>
          </w:p>
        </w:tc>
        <w:tc>
          <w:tcPr>
            <w:tcW w:w="4664" w:type="dxa"/>
            <w:vMerge w:val="restart"/>
            <w:tcBorders>
              <w:top w:val="single" w:color="A7A7A7" w:sz="6" w:space="0"/>
              <w:left w:val="single" w:color="A7A7A7" w:sz="6" w:space="0"/>
              <w:bottom w:val="single" w:color="A7A7A7" w:sz="6" w:space="0"/>
              <w:right w:val="single" w:color="A7A7A7" w:sz="6" w:space="0"/>
            </w:tcBorders>
            <w:shd w:val="clear" w:color="auto" w:fill="F8F8F8"/>
            <w:vAlign w:val="center"/>
          </w:tcPr>
          <w:p>
            <w:pPr>
              <w:jc w:val="center"/>
            </w:pPr>
            <w:r>
              <w:rPr>
                <w:rFonts w:hint="eastAsia"/>
                <w:lang w:val="en-US" w:eastAsia="zh-CN"/>
              </w:rPr>
              <w:t>观测点及描述</w:t>
            </w:r>
          </w:p>
        </w:tc>
        <w:tc>
          <w:tcPr>
            <w:tcW w:w="301" w:type="dxa"/>
            <w:vMerge w:val="restart"/>
            <w:tcBorders>
              <w:top w:val="single" w:color="A7A7A7" w:sz="6" w:space="0"/>
              <w:left w:val="single" w:color="A7A7A7" w:sz="6" w:space="0"/>
              <w:bottom w:val="single" w:color="A7A7A7" w:sz="6" w:space="0"/>
              <w:right w:val="single" w:color="A7A7A7" w:sz="6" w:space="0"/>
            </w:tcBorders>
            <w:shd w:val="clear" w:color="auto" w:fill="F8F8F8"/>
            <w:vAlign w:val="center"/>
          </w:tcPr>
          <w:p>
            <w:pPr>
              <w:jc w:val="center"/>
            </w:pPr>
            <w:r>
              <w:rPr>
                <w:rFonts w:hint="eastAsia"/>
                <w:lang w:val="en-US" w:eastAsia="zh-CN"/>
              </w:rPr>
              <w:t>分值</w:t>
            </w:r>
          </w:p>
        </w:tc>
        <w:tc>
          <w:tcPr>
            <w:tcW w:w="2100" w:type="dxa"/>
            <w:gridSpan w:val="5"/>
            <w:tcBorders>
              <w:top w:val="single" w:color="A7A7A7" w:sz="6" w:space="0"/>
              <w:left w:val="single" w:color="A7A7A7" w:sz="6" w:space="0"/>
              <w:bottom w:val="single" w:color="A7A7A7" w:sz="6" w:space="0"/>
              <w:right w:val="single" w:color="A7A7A7" w:sz="6" w:space="0"/>
            </w:tcBorders>
            <w:shd w:val="clear" w:color="auto" w:fill="F8F8F8"/>
            <w:vAlign w:val="center"/>
          </w:tcPr>
          <w:p>
            <w:pPr>
              <w:jc w:val="center"/>
            </w:pPr>
            <w:r>
              <w:rPr>
                <w:rFonts w:hint="eastAsia"/>
                <w:lang w:val="en-US" w:eastAsia="zh-CN"/>
              </w:rPr>
              <w:t>评价等级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28" w:type="dxa"/>
            <w:vMerge w:val="continue"/>
            <w:tcBorders>
              <w:top w:val="single" w:color="A7A7A7" w:sz="6" w:space="0"/>
              <w:left w:val="single" w:color="A7A7A7" w:sz="6" w:space="0"/>
              <w:bottom w:val="single" w:color="A7A7A7" w:sz="6" w:space="0"/>
              <w:right w:val="single" w:color="A7A7A7" w:sz="6" w:space="0"/>
            </w:tcBorders>
            <w:shd w:val="clear" w:color="auto" w:fill="F8F8F8"/>
            <w:vAlign w:val="center"/>
          </w:tcPr>
          <w:p>
            <w:pPr>
              <w:jc w:val="center"/>
              <w:rPr>
                <w:rFonts w:hint="eastAsia"/>
              </w:rPr>
            </w:pPr>
          </w:p>
        </w:tc>
        <w:tc>
          <w:tcPr>
            <w:tcW w:w="1135" w:type="dxa"/>
            <w:vMerge w:val="continue"/>
            <w:tcBorders>
              <w:top w:val="single" w:color="A7A7A7" w:sz="6" w:space="0"/>
              <w:left w:val="single" w:color="A7A7A7" w:sz="6" w:space="0"/>
              <w:bottom w:val="single" w:color="A7A7A7" w:sz="6" w:space="0"/>
              <w:right w:val="single" w:color="A7A7A7" w:sz="6" w:space="0"/>
            </w:tcBorders>
            <w:shd w:val="clear" w:color="auto" w:fill="F8F8F8"/>
            <w:vAlign w:val="center"/>
          </w:tcPr>
          <w:p>
            <w:pPr>
              <w:jc w:val="center"/>
              <w:rPr>
                <w:rFonts w:hint="eastAsia"/>
              </w:rPr>
            </w:pPr>
          </w:p>
        </w:tc>
        <w:tc>
          <w:tcPr>
            <w:tcW w:w="4664" w:type="dxa"/>
            <w:vMerge w:val="continue"/>
            <w:tcBorders>
              <w:top w:val="single" w:color="A7A7A7" w:sz="6" w:space="0"/>
              <w:left w:val="single" w:color="A7A7A7" w:sz="6" w:space="0"/>
              <w:bottom w:val="single" w:color="A7A7A7" w:sz="6" w:space="0"/>
              <w:right w:val="single" w:color="A7A7A7" w:sz="6" w:space="0"/>
            </w:tcBorders>
            <w:shd w:val="clear" w:color="auto" w:fill="F8F8F8"/>
            <w:vAlign w:val="center"/>
          </w:tcPr>
          <w:p>
            <w:pPr>
              <w:jc w:val="center"/>
              <w:rPr>
                <w:rFonts w:hint="eastAsia"/>
              </w:rPr>
            </w:pPr>
          </w:p>
        </w:tc>
        <w:tc>
          <w:tcPr>
            <w:tcW w:w="301" w:type="dxa"/>
            <w:vMerge w:val="continue"/>
            <w:tcBorders>
              <w:top w:val="single" w:color="A7A7A7" w:sz="6" w:space="0"/>
              <w:left w:val="single" w:color="A7A7A7" w:sz="6" w:space="0"/>
              <w:bottom w:val="single" w:color="A7A7A7" w:sz="6" w:space="0"/>
              <w:right w:val="single" w:color="A7A7A7" w:sz="6" w:space="0"/>
            </w:tcBorders>
            <w:shd w:val="clear" w:color="auto" w:fill="F8F8F8"/>
            <w:vAlign w:val="center"/>
          </w:tcPr>
          <w:p>
            <w:pPr>
              <w:jc w:val="center"/>
              <w:rPr>
                <w:rFonts w:hint="eastAsia"/>
              </w:rPr>
            </w:pPr>
          </w:p>
        </w:tc>
        <w:tc>
          <w:tcPr>
            <w:tcW w:w="405" w:type="dxa"/>
            <w:tcBorders>
              <w:top w:val="single" w:color="A7A7A7" w:sz="6" w:space="0"/>
              <w:left w:val="single" w:color="A7A7A7" w:sz="6" w:space="0"/>
              <w:bottom w:val="single" w:color="A7A7A7" w:sz="6" w:space="0"/>
              <w:right w:val="single" w:color="A7A7A7" w:sz="6" w:space="0"/>
            </w:tcBorders>
            <w:shd w:val="clear" w:color="auto" w:fill="F8F8F8"/>
            <w:vAlign w:val="center"/>
          </w:tcPr>
          <w:p>
            <w:pPr>
              <w:jc w:val="center"/>
            </w:pPr>
            <w:r>
              <w:rPr>
                <w:rFonts w:hint="eastAsia"/>
                <w:lang w:val="en-US" w:eastAsia="zh-CN"/>
              </w:rPr>
              <w:t>A</w:t>
            </w:r>
          </w:p>
        </w:tc>
        <w:tc>
          <w:tcPr>
            <w:tcW w:w="435" w:type="dxa"/>
            <w:tcBorders>
              <w:top w:val="single" w:color="A7A7A7" w:sz="6" w:space="0"/>
              <w:left w:val="single" w:color="A7A7A7" w:sz="6" w:space="0"/>
              <w:bottom w:val="single" w:color="A7A7A7" w:sz="6" w:space="0"/>
              <w:right w:val="single" w:color="A7A7A7" w:sz="6" w:space="0"/>
            </w:tcBorders>
            <w:shd w:val="clear" w:color="auto" w:fill="F8F8F8"/>
            <w:vAlign w:val="center"/>
          </w:tcPr>
          <w:p>
            <w:pPr>
              <w:jc w:val="center"/>
            </w:pPr>
            <w:r>
              <w:rPr>
                <w:rFonts w:hint="eastAsia"/>
                <w:lang w:val="en-US" w:eastAsia="zh-CN"/>
              </w:rPr>
              <w:t>B</w:t>
            </w:r>
          </w:p>
        </w:tc>
        <w:tc>
          <w:tcPr>
            <w:tcW w:w="405" w:type="dxa"/>
            <w:tcBorders>
              <w:top w:val="single" w:color="A7A7A7" w:sz="6" w:space="0"/>
              <w:left w:val="single" w:color="A7A7A7" w:sz="6" w:space="0"/>
              <w:bottom w:val="single" w:color="A7A7A7" w:sz="6" w:space="0"/>
              <w:right w:val="single" w:color="A7A7A7" w:sz="6" w:space="0"/>
            </w:tcBorders>
            <w:shd w:val="clear" w:color="auto" w:fill="F8F8F8"/>
            <w:vAlign w:val="center"/>
          </w:tcPr>
          <w:p>
            <w:pPr>
              <w:jc w:val="center"/>
            </w:pPr>
            <w:r>
              <w:rPr>
                <w:rFonts w:hint="eastAsia"/>
                <w:lang w:val="en-US" w:eastAsia="zh-CN"/>
              </w:rPr>
              <w:t>C</w:t>
            </w:r>
          </w:p>
        </w:tc>
        <w:tc>
          <w:tcPr>
            <w:tcW w:w="405" w:type="dxa"/>
            <w:tcBorders>
              <w:top w:val="single" w:color="A7A7A7" w:sz="6" w:space="0"/>
              <w:left w:val="single" w:color="A7A7A7" w:sz="6" w:space="0"/>
              <w:bottom w:val="single" w:color="A7A7A7" w:sz="6" w:space="0"/>
              <w:right w:val="single" w:color="A7A7A7" w:sz="6" w:space="0"/>
            </w:tcBorders>
            <w:shd w:val="clear" w:color="auto" w:fill="F8F8F8"/>
            <w:vAlign w:val="center"/>
          </w:tcPr>
          <w:p>
            <w:pPr>
              <w:jc w:val="center"/>
            </w:pPr>
            <w:r>
              <w:rPr>
                <w:rFonts w:hint="eastAsia"/>
                <w:lang w:val="en-US" w:eastAsia="zh-CN"/>
              </w:rPr>
              <w:t>D</w:t>
            </w:r>
          </w:p>
        </w:tc>
        <w:tc>
          <w:tcPr>
            <w:tcW w:w="450" w:type="dxa"/>
            <w:tcBorders>
              <w:top w:val="single" w:color="A7A7A7" w:sz="6" w:space="0"/>
              <w:left w:val="single" w:color="A7A7A7" w:sz="6" w:space="0"/>
              <w:bottom w:val="single" w:color="A7A7A7" w:sz="6" w:space="0"/>
              <w:right w:val="single" w:color="A7A7A7" w:sz="6" w:space="0"/>
            </w:tcBorders>
            <w:shd w:val="clear" w:color="auto" w:fill="F8F8F8"/>
            <w:vAlign w:val="center"/>
          </w:tcPr>
          <w:p>
            <w:pPr>
              <w:jc w:val="center"/>
            </w:pPr>
            <w:r>
              <w:rPr>
                <w:rFonts w:hint="eastAsia"/>
                <w:lang w:val="en-US" w:eastAsia="zh-CN"/>
              </w:rPr>
              <w: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528" w:type="dxa"/>
            <w:vMerge w:val="continue"/>
            <w:tcBorders>
              <w:top w:val="single" w:color="A7A7A7" w:sz="6" w:space="0"/>
              <w:left w:val="single" w:color="A7A7A7" w:sz="6" w:space="0"/>
              <w:bottom w:val="single" w:color="A7A7A7" w:sz="6" w:space="0"/>
              <w:right w:val="single" w:color="A7A7A7" w:sz="6" w:space="0"/>
            </w:tcBorders>
            <w:shd w:val="clear" w:color="auto" w:fill="F8F8F8"/>
            <w:vAlign w:val="center"/>
          </w:tcPr>
          <w:p>
            <w:pPr>
              <w:jc w:val="center"/>
              <w:rPr>
                <w:rFonts w:hint="eastAsia"/>
              </w:rPr>
            </w:pPr>
          </w:p>
        </w:tc>
        <w:tc>
          <w:tcPr>
            <w:tcW w:w="1135" w:type="dxa"/>
            <w:vMerge w:val="continue"/>
            <w:tcBorders>
              <w:top w:val="single" w:color="A7A7A7" w:sz="6" w:space="0"/>
              <w:left w:val="single" w:color="A7A7A7" w:sz="6" w:space="0"/>
              <w:bottom w:val="single" w:color="A7A7A7" w:sz="6" w:space="0"/>
              <w:right w:val="single" w:color="A7A7A7" w:sz="6" w:space="0"/>
            </w:tcBorders>
            <w:shd w:val="clear" w:color="auto" w:fill="F8F8F8"/>
            <w:vAlign w:val="center"/>
          </w:tcPr>
          <w:p>
            <w:pPr>
              <w:jc w:val="center"/>
              <w:rPr>
                <w:rFonts w:hint="eastAsia"/>
              </w:rPr>
            </w:pPr>
          </w:p>
        </w:tc>
        <w:tc>
          <w:tcPr>
            <w:tcW w:w="4664" w:type="dxa"/>
            <w:vMerge w:val="continue"/>
            <w:tcBorders>
              <w:top w:val="single" w:color="A7A7A7" w:sz="6" w:space="0"/>
              <w:left w:val="single" w:color="A7A7A7" w:sz="6" w:space="0"/>
              <w:bottom w:val="single" w:color="A7A7A7" w:sz="6" w:space="0"/>
              <w:right w:val="single" w:color="A7A7A7" w:sz="6" w:space="0"/>
            </w:tcBorders>
            <w:shd w:val="clear" w:color="auto" w:fill="F8F8F8"/>
            <w:vAlign w:val="center"/>
          </w:tcPr>
          <w:p>
            <w:pPr>
              <w:jc w:val="center"/>
              <w:rPr>
                <w:rFonts w:hint="eastAsia"/>
              </w:rPr>
            </w:pPr>
          </w:p>
        </w:tc>
        <w:tc>
          <w:tcPr>
            <w:tcW w:w="301" w:type="dxa"/>
            <w:vMerge w:val="continue"/>
            <w:tcBorders>
              <w:top w:val="single" w:color="A7A7A7" w:sz="6" w:space="0"/>
              <w:left w:val="single" w:color="A7A7A7" w:sz="6" w:space="0"/>
              <w:bottom w:val="single" w:color="A7A7A7" w:sz="6" w:space="0"/>
              <w:right w:val="single" w:color="A7A7A7" w:sz="6" w:space="0"/>
            </w:tcBorders>
            <w:shd w:val="clear" w:color="auto" w:fill="F8F8F8"/>
            <w:vAlign w:val="center"/>
          </w:tcPr>
          <w:p>
            <w:pPr>
              <w:jc w:val="center"/>
              <w:rPr>
                <w:rFonts w:hint="eastAsia"/>
              </w:rPr>
            </w:pPr>
          </w:p>
        </w:tc>
        <w:tc>
          <w:tcPr>
            <w:tcW w:w="405" w:type="dxa"/>
            <w:tcBorders>
              <w:top w:val="single" w:color="A7A7A7" w:sz="6" w:space="0"/>
              <w:left w:val="single" w:color="A7A7A7" w:sz="6" w:space="0"/>
              <w:bottom w:val="single" w:color="A7A7A7" w:sz="6" w:space="0"/>
              <w:right w:val="single" w:color="A7A7A7" w:sz="6" w:space="0"/>
            </w:tcBorders>
            <w:shd w:val="clear" w:color="auto" w:fill="F8F8F8"/>
            <w:vAlign w:val="center"/>
          </w:tcPr>
          <w:p>
            <w:pPr>
              <w:jc w:val="center"/>
            </w:pPr>
            <w:r>
              <w:rPr>
                <w:rFonts w:hint="eastAsia"/>
                <w:lang w:val="en-US" w:eastAsia="zh-CN"/>
              </w:rPr>
              <w:t>1.0</w:t>
            </w:r>
          </w:p>
        </w:tc>
        <w:tc>
          <w:tcPr>
            <w:tcW w:w="435" w:type="dxa"/>
            <w:tcBorders>
              <w:top w:val="single" w:color="A7A7A7" w:sz="6" w:space="0"/>
              <w:left w:val="single" w:color="A7A7A7" w:sz="6" w:space="0"/>
              <w:bottom w:val="single" w:color="A7A7A7" w:sz="6" w:space="0"/>
              <w:right w:val="single" w:color="A7A7A7" w:sz="6" w:space="0"/>
            </w:tcBorders>
            <w:shd w:val="clear" w:color="auto" w:fill="F8F8F8"/>
            <w:vAlign w:val="center"/>
          </w:tcPr>
          <w:p>
            <w:pPr>
              <w:jc w:val="center"/>
            </w:pPr>
            <w:r>
              <w:rPr>
                <w:rFonts w:hint="eastAsia"/>
                <w:lang w:val="en-US" w:eastAsia="zh-CN"/>
              </w:rPr>
              <w:t>0.75</w:t>
            </w:r>
          </w:p>
        </w:tc>
        <w:tc>
          <w:tcPr>
            <w:tcW w:w="405" w:type="dxa"/>
            <w:tcBorders>
              <w:top w:val="single" w:color="A7A7A7" w:sz="6" w:space="0"/>
              <w:left w:val="single" w:color="A7A7A7" w:sz="6" w:space="0"/>
              <w:bottom w:val="single" w:color="A7A7A7" w:sz="6" w:space="0"/>
              <w:right w:val="single" w:color="A7A7A7" w:sz="6" w:space="0"/>
            </w:tcBorders>
            <w:shd w:val="clear" w:color="auto" w:fill="F8F8F8"/>
            <w:vAlign w:val="center"/>
          </w:tcPr>
          <w:p>
            <w:pPr>
              <w:jc w:val="center"/>
            </w:pPr>
            <w:r>
              <w:rPr>
                <w:rFonts w:hint="eastAsia"/>
                <w:lang w:val="en-US" w:eastAsia="zh-CN"/>
              </w:rPr>
              <w:t>0.5</w:t>
            </w:r>
          </w:p>
        </w:tc>
        <w:tc>
          <w:tcPr>
            <w:tcW w:w="405" w:type="dxa"/>
            <w:tcBorders>
              <w:top w:val="single" w:color="A7A7A7" w:sz="6" w:space="0"/>
              <w:left w:val="single" w:color="A7A7A7" w:sz="6" w:space="0"/>
              <w:bottom w:val="single" w:color="A7A7A7" w:sz="6" w:space="0"/>
              <w:right w:val="single" w:color="A7A7A7" w:sz="6" w:space="0"/>
            </w:tcBorders>
            <w:shd w:val="clear" w:color="auto" w:fill="F8F8F8"/>
            <w:vAlign w:val="center"/>
          </w:tcPr>
          <w:p>
            <w:pPr>
              <w:jc w:val="center"/>
            </w:pPr>
            <w:r>
              <w:rPr>
                <w:rFonts w:hint="eastAsia"/>
                <w:lang w:val="en-US" w:eastAsia="zh-CN"/>
              </w:rPr>
              <w:t>0.25</w:t>
            </w:r>
          </w:p>
        </w:tc>
        <w:tc>
          <w:tcPr>
            <w:tcW w:w="450" w:type="dxa"/>
            <w:tcBorders>
              <w:top w:val="single" w:color="A7A7A7" w:sz="6" w:space="0"/>
              <w:left w:val="single" w:color="A7A7A7" w:sz="6" w:space="0"/>
              <w:bottom w:val="single" w:color="A7A7A7" w:sz="6" w:space="0"/>
              <w:right w:val="single" w:color="A7A7A7" w:sz="6" w:space="0"/>
            </w:tcBorders>
            <w:shd w:val="clear" w:color="auto" w:fill="F8F8F8"/>
            <w:vAlign w:val="center"/>
          </w:tcPr>
          <w:p>
            <w:pPr>
              <w:jc w:val="cente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528" w:type="dxa"/>
            <w:vMerge w:val="restart"/>
            <w:tcBorders>
              <w:top w:val="single" w:color="auto" w:sz="4" w:space="0"/>
              <w:left w:val="single" w:color="A7A7A7" w:sz="6" w:space="0"/>
              <w:right w:val="single" w:color="A7A7A7" w:sz="6" w:space="0"/>
            </w:tcBorders>
            <w:shd w:val="clear" w:color="auto" w:fill="auto"/>
            <w:vAlign w:val="center"/>
          </w:tcPr>
          <w:p>
            <w:pPr>
              <w:jc w:val="center"/>
              <w:rPr>
                <w:rFonts w:hint="eastAsia"/>
              </w:rPr>
            </w:pPr>
            <w:r>
              <w:rPr>
                <w:rFonts w:hint="eastAsia"/>
                <w:lang w:val="en-US" w:eastAsia="zh-CN"/>
              </w:rPr>
              <w:t>一 课程内容</w:t>
            </w:r>
          </w:p>
        </w:tc>
        <w:tc>
          <w:tcPr>
            <w:tcW w:w="113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pPr>
            <w:r>
              <w:rPr>
                <w:rFonts w:hint="eastAsia"/>
                <w:lang w:val="en-US" w:eastAsia="zh-CN"/>
              </w:rPr>
              <w:t>1-1 规范性</w:t>
            </w:r>
          </w:p>
        </w:tc>
        <w:tc>
          <w:tcPr>
            <w:tcW w:w="4664"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left"/>
            </w:pPr>
            <w:r>
              <w:rPr>
                <w:rFonts w:hint="eastAsia"/>
                <w:lang w:val="en-US" w:eastAsia="zh-CN"/>
              </w:rPr>
              <w:t>课程内容为人才培养方案中规定内容，符合《高等职业学校专业教学标准》等要求，遵循职业教育教学规律，按照产业发展水平和职业标准设计课程结构和内容，满足高职人才培养的知识、能力、素质要求。</w:t>
            </w:r>
          </w:p>
        </w:tc>
        <w:tc>
          <w:tcPr>
            <w:tcW w:w="301"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pPr>
            <w:r>
              <w:rPr>
                <w:rFonts w:hint="eastAsia"/>
                <w:lang w:val="en-US" w:eastAsia="zh-CN"/>
              </w:rPr>
              <w:t>5分</w:t>
            </w:r>
          </w:p>
        </w:tc>
        <w:tc>
          <w:tcPr>
            <w:tcW w:w="40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43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40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40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450"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28" w:type="dxa"/>
            <w:vMerge w:val="continue"/>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113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pPr>
            <w:r>
              <w:rPr>
                <w:rFonts w:hint="eastAsia"/>
                <w:lang w:val="en-US" w:eastAsia="zh-CN"/>
              </w:rPr>
              <w:t>1-2 思想性、科学性、先进性</w:t>
            </w:r>
          </w:p>
        </w:tc>
        <w:tc>
          <w:tcPr>
            <w:tcW w:w="4664"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left"/>
            </w:pPr>
            <w:r>
              <w:rPr>
                <w:rFonts w:hint="eastAsia"/>
                <w:lang w:val="en-US" w:eastAsia="zh-CN"/>
              </w:rPr>
              <w:t>坚持立德树人，将思想政治教育内化为课程内容，弘扬社会主义核心价值观，注重职业精神与职业技能融合培养；课程知识体系科学，资源配置全面合理，课程内容先进、新颖，紧贴新技术、新产业、新业态、新模式，能够体现教改教研成果。</w:t>
            </w:r>
          </w:p>
        </w:tc>
        <w:tc>
          <w:tcPr>
            <w:tcW w:w="301"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pPr>
            <w:r>
              <w:rPr>
                <w:rFonts w:hint="eastAsia"/>
                <w:lang w:val="en-US" w:eastAsia="zh-CN"/>
              </w:rPr>
              <w:t>5分</w:t>
            </w:r>
          </w:p>
        </w:tc>
        <w:tc>
          <w:tcPr>
            <w:tcW w:w="40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43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40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40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450"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28" w:type="dxa"/>
            <w:vMerge w:val="continue"/>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113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pPr>
            <w:r>
              <w:rPr>
                <w:rFonts w:hint="eastAsia"/>
                <w:lang w:val="en-US" w:eastAsia="zh-CN"/>
              </w:rPr>
              <w:t>1-3 安全性</w:t>
            </w:r>
          </w:p>
        </w:tc>
        <w:tc>
          <w:tcPr>
            <w:tcW w:w="4664"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left"/>
            </w:pPr>
            <w:r>
              <w:rPr>
                <w:rFonts w:hint="eastAsia"/>
                <w:lang w:val="en-US" w:eastAsia="zh-CN"/>
              </w:rPr>
              <w:t>课程无危害国家安全、涉密及其他不适宜网络公开传播的内容，无侵犯他人知识产权内容。</w:t>
            </w:r>
            <w:r>
              <w:rPr>
                <w:rFonts w:hint="eastAsia"/>
                <w:lang w:val="en-US" w:eastAsia="zh-CN"/>
              </w:rPr>
              <w:t>（若存在有不适合公开的课程内容或有确凿证据证明有侵权情况，此项为0分）</w:t>
            </w:r>
          </w:p>
        </w:tc>
        <w:tc>
          <w:tcPr>
            <w:tcW w:w="301"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pPr>
            <w:r>
              <w:rPr>
                <w:rFonts w:hint="eastAsia"/>
                <w:lang w:val="en-US" w:eastAsia="zh-CN"/>
              </w:rPr>
              <w:t>5分</w:t>
            </w:r>
          </w:p>
        </w:tc>
        <w:tc>
          <w:tcPr>
            <w:tcW w:w="40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43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40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40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450"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28" w:type="dxa"/>
            <w:vMerge w:val="continue"/>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113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pPr>
            <w:r>
              <w:rPr>
                <w:rFonts w:hint="eastAsia"/>
                <w:lang w:val="en-US" w:eastAsia="zh-CN"/>
              </w:rPr>
              <w:t>1-4 多样性</w:t>
            </w:r>
          </w:p>
        </w:tc>
        <w:tc>
          <w:tcPr>
            <w:tcW w:w="4664"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left"/>
            </w:pPr>
            <w:r>
              <w:rPr>
                <w:rFonts w:hint="eastAsia"/>
                <w:lang w:val="en-US" w:eastAsia="zh-CN"/>
              </w:rPr>
              <w:t>课程内容及教学环节配置丰富、多样，深浅度合理，内容更新和完善及时。在线考试难易度适当，有区分度。（若学分课程的内容过于浅显，或考核评判标准过低，此项为0分。）</w:t>
            </w:r>
          </w:p>
        </w:tc>
        <w:tc>
          <w:tcPr>
            <w:tcW w:w="301"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pPr>
            <w:r>
              <w:rPr>
                <w:rFonts w:hint="eastAsia"/>
                <w:lang w:val="en-US" w:eastAsia="zh-CN"/>
              </w:rPr>
              <w:t>5分</w:t>
            </w:r>
          </w:p>
        </w:tc>
        <w:tc>
          <w:tcPr>
            <w:tcW w:w="40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43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40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40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450"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63" w:hRule="atLeast"/>
        </w:trPr>
        <w:tc>
          <w:tcPr>
            <w:tcW w:w="528" w:type="dxa"/>
            <w:vMerge w:val="restart"/>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pPr>
            <w:r>
              <w:rPr>
                <w:rFonts w:hint="eastAsia"/>
                <w:lang w:val="en-US" w:eastAsia="zh-CN"/>
              </w:rPr>
              <w:t>二 课程教学设计</w:t>
            </w:r>
          </w:p>
        </w:tc>
        <w:tc>
          <w:tcPr>
            <w:tcW w:w="1135" w:type="dxa"/>
            <w:tcBorders>
              <w:top w:val="single" w:color="A7A7A7" w:sz="6" w:space="0"/>
              <w:left w:val="single" w:color="A7A7A7" w:sz="6" w:space="0"/>
              <w:right w:val="single" w:color="A7A7A7" w:sz="6" w:space="0"/>
            </w:tcBorders>
            <w:shd w:val="clear" w:color="auto" w:fill="auto"/>
            <w:vAlign w:val="center"/>
          </w:tcPr>
          <w:p>
            <w:pPr>
              <w:jc w:val="center"/>
            </w:pPr>
            <w:r>
              <w:rPr>
                <w:rFonts w:hint="eastAsia"/>
                <w:lang w:val="en-US" w:eastAsia="zh-CN"/>
              </w:rPr>
              <w:t>2-1 合理性</w:t>
            </w:r>
          </w:p>
        </w:tc>
        <w:tc>
          <w:tcPr>
            <w:tcW w:w="4664" w:type="dxa"/>
            <w:tcBorders>
              <w:top w:val="single" w:color="A7A7A7" w:sz="6" w:space="0"/>
              <w:left w:val="single" w:color="A7A7A7" w:sz="6" w:space="0"/>
              <w:right w:val="single" w:color="A7A7A7" w:sz="6" w:space="0"/>
            </w:tcBorders>
            <w:shd w:val="clear" w:color="auto" w:fill="auto"/>
            <w:vAlign w:val="center"/>
          </w:tcPr>
          <w:p>
            <w:pPr>
              <w:jc w:val="left"/>
            </w:pPr>
            <w:r>
              <w:rPr>
                <w:rFonts w:hint="eastAsia"/>
                <w:lang w:val="en-US" w:eastAsia="zh-CN"/>
              </w:rPr>
              <w:t>教学目标明确，教学方法与教学活动组织科学合理，符合职业教育教学规律，体现信息技术与教育教学融合，课程应用与课程服务相融通，适合在线学习和线上线下混合式教学。</w:t>
            </w:r>
          </w:p>
        </w:tc>
        <w:tc>
          <w:tcPr>
            <w:tcW w:w="301" w:type="dxa"/>
            <w:tcBorders>
              <w:top w:val="single" w:color="A7A7A7" w:sz="6" w:space="0"/>
              <w:left w:val="single" w:color="A7A7A7" w:sz="6" w:space="0"/>
              <w:right w:val="single" w:color="A7A7A7" w:sz="6" w:space="0"/>
            </w:tcBorders>
            <w:shd w:val="clear" w:color="auto" w:fill="auto"/>
            <w:vAlign w:val="center"/>
          </w:tcPr>
          <w:p>
            <w:pPr>
              <w:jc w:val="center"/>
            </w:pPr>
            <w:r>
              <w:rPr>
                <w:rFonts w:hint="eastAsia"/>
                <w:lang w:val="en-US" w:eastAsia="zh-CN"/>
              </w:rPr>
              <w:t>5分</w:t>
            </w:r>
          </w:p>
        </w:tc>
        <w:tc>
          <w:tcPr>
            <w:tcW w:w="405" w:type="dxa"/>
            <w:tcBorders>
              <w:top w:val="single" w:color="A7A7A7" w:sz="6" w:space="0"/>
              <w:left w:val="single" w:color="A7A7A7" w:sz="6" w:space="0"/>
              <w:right w:val="single" w:color="A7A7A7" w:sz="6" w:space="0"/>
            </w:tcBorders>
            <w:shd w:val="clear" w:color="auto" w:fill="auto"/>
            <w:vAlign w:val="center"/>
          </w:tcPr>
          <w:p>
            <w:pPr>
              <w:jc w:val="center"/>
              <w:rPr>
                <w:rFonts w:hint="eastAsia"/>
              </w:rPr>
            </w:pPr>
          </w:p>
        </w:tc>
        <w:tc>
          <w:tcPr>
            <w:tcW w:w="435" w:type="dxa"/>
            <w:tcBorders>
              <w:top w:val="single" w:color="A7A7A7" w:sz="6" w:space="0"/>
              <w:left w:val="single" w:color="A7A7A7" w:sz="6" w:space="0"/>
              <w:right w:val="single" w:color="A7A7A7" w:sz="6" w:space="0"/>
            </w:tcBorders>
            <w:shd w:val="clear" w:color="auto" w:fill="auto"/>
            <w:vAlign w:val="center"/>
          </w:tcPr>
          <w:p>
            <w:pPr>
              <w:jc w:val="center"/>
              <w:rPr>
                <w:rFonts w:hint="eastAsia"/>
              </w:rPr>
            </w:pPr>
          </w:p>
        </w:tc>
        <w:tc>
          <w:tcPr>
            <w:tcW w:w="405" w:type="dxa"/>
            <w:tcBorders>
              <w:top w:val="single" w:color="A7A7A7" w:sz="6" w:space="0"/>
              <w:left w:val="single" w:color="A7A7A7" w:sz="6" w:space="0"/>
              <w:right w:val="single" w:color="A7A7A7" w:sz="6" w:space="0"/>
            </w:tcBorders>
            <w:shd w:val="clear" w:color="auto" w:fill="auto"/>
            <w:vAlign w:val="center"/>
          </w:tcPr>
          <w:p>
            <w:pPr>
              <w:jc w:val="center"/>
              <w:rPr>
                <w:rFonts w:hint="eastAsia"/>
              </w:rPr>
            </w:pPr>
          </w:p>
        </w:tc>
        <w:tc>
          <w:tcPr>
            <w:tcW w:w="405" w:type="dxa"/>
            <w:tcBorders>
              <w:top w:val="single" w:color="A7A7A7" w:sz="6" w:space="0"/>
              <w:left w:val="single" w:color="A7A7A7" w:sz="6" w:space="0"/>
              <w:right w:val="single" w:color="A7A7A7" w:sz="6" w:space="0"/>
            </w:tcBorders>
            <w:shd w:val="clear" w:color="auto" w:fill="auto"/>
            <w:vAlign w:val="center"/>
          </w:tcPr>
          <w:p>
            <w:pPr>
              <w:jc w:val="center"/>
              <w:rPr>
                <w:rFonts w:hint="eastAsia"/>
              </w:rPr>
            </w:pPr>
          </w:p>
        </w:tc>
        <w:tc>
          <w:tcPr>
            <w:tcW w:w="450"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528" w:type="dxa"/>
            <w:vMerge w:val="continue"/>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113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pPr>
            <w:r>
              <w:rPr>
                <w:rFonts w:hint="eastAsia"/>
                <w:lang w:val="en-US" w:eastAsia="zh-CN"/>
              </w:rPr>
              <w:t>2-2 方向性</w:t>
            </w:r>
          </w:p>
        </w:tc>
        <w:tc>
          <w:tcPr>
            <w:tcW w:w="4664"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left"/>
            </w:pPr>
            <w:r>
              <w:rPr>
                <w:rFonts w:hint="eastAsia"/>
                <w:lang w:val="en-US" w:eastAsia="zh-CN"/>
              </w:rPr>
              <w:t>符合以学生为中心的课程教学改革方向，注重激发学生学习志趣和潜能，增强学生的社会责任感、创新精神和实践能力；能够针对知识点、技能点的特点运用信息技术予以恰当展现。</w:t>
            </w:r>
          </w:p>
        </w:tc>
        <w:tc>
          <w:tcPr>
            <w:tcW w:w="301"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pPr>
            <w:r>
              <w:rPr>
                <w:rFonts w:hint="eastAsia"/>
                <w:lang w:val="en-US" w:eastAsia="zh-CN"/>
              </w:rPr>
              <w:t>10分</w:t>
            </w:r>
          </w:p>
        </w:tc>
        <w:tc>
          <w:tcPr>
            <w:tcW w:w="40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43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40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40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450"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528" w:type="dxa"/>
            <w:vMerge w:val="continue"/>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113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pPr>
            <w:r>
              <w:rPr>
                <w:rFonts w:hint="eastAsia"/>
                <w:lang w:val="en-US" w:eastAsia="zh-CN"/>
              </w:rPr>
              <w:t>2-3 创新性</w:t>
            </w:r>
          </w:p>
        </w:tc>
        <w:tc>
          <w:tcPr>
            <w:tcW w:w="4664"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left"/>
            </w:pPr>
            <w:r>
              <w:rPr>
                <w:rFonts w:hint="eastAsia"/>
                <w:lang w:val="en-US" w:eastAsia="zh-CN"/>
              </w:rPr>
              <w:t>有针对性地解决当前教育教学中存在的问题，充分利用和发挥网络教学优势，各教学环节充分、有效，满足学生的在线学习的诉求，不是传统课堂的简单翻版。</w:t>
            </w:r>
          </w:p>
        </w:tc>
        <w:tc>
          <w:tcPr>
            <w:tcW w:w="301"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pPr>
            <w:r>
              <w:rPr>
                <w:rFonts w:hint="eastAsia"/>
                <w:lang w:val="en-US" w:eastAsia="zh-CN"/>
              </w:rPr>
              <w:t>10分</w:t>
            </w:r>
          </w:p>
        </w:tc>
        <w:tc>
          <w:tcPr>
            <w:tcW w:w="40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43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40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40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450"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28" w:type="dxa"/>
            <w:vMerge w:val="restart"/>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pPr>
            <w:r>
              <w:rPr>
                <w:rFonts w:hint="eastAsia"/>
                <w:lang w:val="en-US" w:eastAsia="zh-CN"/>
              </w:rPr>
              <w:t>三 课程团队</w:t>
            </w:r>
          </w:p>
        </w:tc>
        <w:tc>
          <w:tcPr>
            <w:tcW w:w="1135" w:type="dxa"/>
            <w:tcBorders>
              <w:top w:val="single" w:color="A7A7A7" w:sz="6" w:space="0"/>
              <w:left w:val="single" w:color="A7A7A7" w:sz="6" w:space="0"/>
              <w:right w:val="single" w:color="A7A7A7" w:sz="6" w:space="0"/>
            </w:tcBorders>
            <w:shd w:val="clear" w:color="auto" w:fill="auto"/>
            <w:vAlign w:val="center"/>
          </w:tcPr>
          <w:p>
            <w:pPr>
              <w:jc w:val="center"/>
            </w:pPr>
            <w:r>
              <w:rPr>
                <w:rFonts w:hint="eastAsia"/>
                <w:lang w:val="en-US" w:eastAsia="zh-CN"/>
              </w:rPr>
              <w:t>3-1 负责人</w:t>
            </w:r>
          </w:p>
        </w:tc>
        <w:tc>
          <w:tcPr>
            <w:tcW w:w="4664" w:type="dxa"/>
            <w:tcBorders>
              <w:top w:val="single" w:color="A7A7A7" w:sz="6" w:space="0"/>
              <w:left w:val="single" w:color="A7A7A7" w:sz="6" w:space="0"/>
              <w:right w:val="single" w:color="A7A7A7" w:sz="6" w:space="0"/>
            </w:tcBorders>
            <w:shd w:val="clear" w:color="auto" w:fill="auto"/>
            <w:vAlign w:val="center"/>
          </w:tcPr>
          <w:p>
            <w:pPr>
              <w:jc w:val="left"/>
            </w:pPr>
            <w:r>
              <w:rPr>
                <w:rFonts w:hint="eastAsia"/>
                <w:lang w:val="en-US" w:eastAsia="zh-CN"/>
              </w:rPr>
              <w:t>在本课程教学经验丰富，教学水平高，在推进基于在线开放课程的信息技术与教育教学深度融合的课程改革中投入精力大。</w:t>
            </w:r>
          </w:p>
        </w:tc>
        <w:tc>
          <w:tcPr>
            <w:tcW w:w="301" w:type="dxa"/>
            <w:tcBorders>
              <w:top w:val="single" w:color="A7A7A7" w:sz="6" w:space="0"/>
              <w:left w:val="single" w:color="A7A7A7" w:sz="6" w:space="0"/>
              <w:right w:val="single" w:color="A7A7A7" w:sz="6" w:space="0"/>
            </w:tcBorders>
            <w:shd w:val="clear" w:color="auto" w:fill="auto"/>
            <w:vAlign w:val="center"/>
          </w:tcPr>
          <w:p>
            <w:pPr>
              <w:jc w:val="center"/>
            </w:pPr>
            <w:r>
              <w:rPr>
                <w:rFonts w:hint="eastAsia"/>
                <w:lang w:val="en-US" w:eastAsia="zh-CN"/>
              </w:rPr>
              <w:t>5分</w:t>
            </w:r>
          </w:p>
        </w:tc>
        <w:tc>
          <w:tcPr>
            <w:tcW w:w="405" w:type="dxa"/>
            <w:tcBorders>
              <w:top w:val="single" w:color="A7A7A7" w:sz="6" w:space="0"/>
              <w:left w:val="single" w:color="A7A7A7" w:sz="6" w:space="0"/>
              <w:right w:val="single" w:color="A7A7A7" w:sz="6" w:space="0"/>
            </w:tcBorders>
            <w:shd w:val="clear" w:color="auto" w:fill="auto"/>
            <w:vAlign w:val="center"/>
          </w:tcPr>
          <w:p>
            <w:pPr>
              <w:jc w:val="center"/>
              <w:rPr>
                <w:rFonts w:hint="eastAsia"/>
              </w:rPr>
            </w:pPr>
          </w:p>
        </w:tc>
        <w:tc>
          <w:tcPr>
            <w:tcW w:w="435" w:type="dxa"/>
            <w:tcBorders>
              <w:top w:val="single" w:color="A7A7A7" w:sz="6" w:space="0"/>
              <w:left w:val="single" w:color="A7A7A7" w:sz="6" w:space="0"/>
              <w:right w:val="single" w:color="A7A7A7" w:sz="6" w:space="0"/>
            </w:tcBorders>
            <w:shd w:val="clear" w:color="auto" w:fill="auto"/>
            <w:vAlign w:val="center"/>
          </w:tcPr>
          <w:p>
            <w:pPr>
              <w:jc w:val="center"/>
              <w:rPr>
                <w:rFonts w:hint="eastAsia"/>
              </w:rPr>
            </w:pPr>
          </w:p>
        </w:tc>
        <w:tc>
          <w:tcPr>
            <w:tcW w:w="405" w:type="dxa"/>
            <w:tcBorders>
              <w:top w:val="single" w:color="A7A7A7" w:sz="6" w:space="0"/>
              <w:left w:val="single" w:color="A7A7A7" w:sz="6" w:space="0"/>
              <w:right w:val="single" w:color="A7A7A7" w:sz="6" w:space="0"/>
            </w:tcBorders>
            <w:shd w:val="clear" w:color="auto" w:fill="auto"/>
            <w:vAlign w:val="center"/>
          </w:tcPr>
          <w:p>
            <w:pPr>
              <w:jc w:val="center"/>
              <w:rPr>
                <w:rFonts w:hint="eastAsia"/>
              </w:rPr>
            </w:pPr>
          </w:p>
        </w:tc>
        <w:tc>
          <w:tcPr>
            <w:tcW w:w="405" w:type="dxa"/>
            <w:tcBorders>
              <w:top w:val="single" w:color="A7A7A7" w:sz="6" w:space="0"/>
              <w:left w:val="single" w:color="A7A7A7" w:sz="6" w:space="0"/>
              <w:right w:val="single" w:color="A7A7A7" w:sz="6" w:space="0"/>
            </w:tcBorders>
            <w:shd w:val="clear" w:color="auto" w:fill="auto"/>
            <w:vAlign w:val="center"/>
          </w:tcPr>
          <w:p>
            <w:pPr>
              <w:jc w:val="center"/>
              <w:rPr>
                <w:rFonts w:hint="eastAsia"/>
              </w:rPr>
            </w:pPr>
          </w:p>
        </w:tc>
        <w:tc>
          <w:tcPr>
            <w:tcW w:w="450"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28" w:type="dxa"/>
            <w:vMerge w:val="continue"/>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113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pPr>
            <w:r>
              <w:rPr>
                <w:rFonts w:hint="eastAsia"/>
                <w:lang w:val="en-US" w:eastAsia="zh-CN"/>
              </w:rPr>
              <w:t>3-2 团队</w:t>
            </w:r>
          </w:p>
        </w:tc>
        <w:tc>
          <w:tcPr>
            <w:tcW w:w="4664"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left"/>
            </w:pPr>
            <w:r>
              <w:rPr>
                <w:rFonts w:hint="eastAsia"/>
                <w:lang w:val="en-US" w:eastAsia="zh-CN"/>
              </w:rPr>
              <w:t>主讲教师师德好、教学能力强，教学表现力强。课程团队结构合理。</w:t>
            </w:r>
          </w:p>
        </w:tc>
        <w:tc>
          <w:tcPr>
            <w:tcW w:w="301"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pPr>
            <w:r>
              <w:rPr>
                <w:rFonts w:hint="eastAsia"/>
                <w:lang w:val="en-US" w:eastAsia="zh-CN"/>
              </w:rPr>
              <w:t>5分</w:t>
            </w:r>
          </w:p>
        </w:tc>
        <w:tc>
          <w:tcPr>
            <w:tcW w:w="40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43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40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40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450"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528" w:type="dxa"/>
            <w:vMerge w:val="restart"/>
            <w:tcBorders>
              <w:top w:val="single" w:color="A7A7A7" w:sz="6" w:space="0"/>
              <w:left w:val="single" w:color="A7A7A7" w:sz="6" w:space="0"/>
              <w:right w:val="single" w:color="A7A7A7" w:sz="6" w:space="0"/>
            </w:tcBorders>
            <w:shd w:val="clear" w:color="auto" w:fill="auto"/>
            <w:vAlign w:val="center"/>
          </w:tcPr>
          <w:p>
            <w:pPr>
              <w:jc w:val="center"/>
            </w:pPr>
            <w:r>
              <w:rPr>
                <w:rFonts w:hint="eastAsia"/>
                <w:lang w:val="en-US" w:eastAsia="zh-CN"/>
              </w:rPr>
              <w:t>四 教学支持</w:t>
            </w:r>
          </w:p>
        </w:tc>
        <w:tc>
          <w:tcPr>
            <w:tcW w:w="113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r>
              <w:rPr>
                <w:rFonts w:hint="eastAsia"/>
                <w:lang w:val="en-US" w:eastAsia="zh-CN"/>
              </w:rPr>
              <w:t>4-1 团队服务</w:t>
            </w:r>
          </w:p>
        </w:tc>
        <w:tc>
          <w:tcPr>
            <w:tcW w:w="4664"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left"/>
              <w:rPr>
                <w:rFonts w:hint="eastAsia"/>
              </w:rPr>
            </w:pPr>
            <w:r>
              <w:rPr>
                <w:rFonts w:hint="eastAsia"/>
                <w:lang w:val="en-US" w:eastAsia="zh-CN"/>
              </w:rPr>
              <w:t>通过课程平台，教师按照教学计划和要求为学生提供测验、作业、考试、答疑、讨论等教学活动，及时开展有效的在线指导与测评。（若教学团队成员未参与学生答疑、讨论等教学活动，此项为0分。）</w:t>
            </w:r>
          </w:p>
        </w:tc>
        <w:tc>
          <w:tcPr>
            <w:tcW w:w="301"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r>
              <w:rPr>
                <w:rFonts w:hint="eastAsia"/>
                <w:lang w:val="en-US" w:eastAsia="zh-CN"/>
              </w:rPr>
              <w:t>10分</w:t>
            </w:r>
          </w:p>
        </w:tc>
        <w:tc>
          <w:tcPr>
            <w:tcW w:w="40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43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40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40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450"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528" w:type="dxa"/>
            <w:vMerge w:val="continue"/>
            <w:tcBorders>
              <w:left w:val="single" w:color="A7A7A7" w:sz="6" w:space="0"/>
              <w:bottom w:val="single" w:color="A7A7A7" w:sz="6" w:space="0"/>
              <w:right w:val="single" w:color="A7A7A7" w:sz="6" w:space="0"/>
            </w:tcBorders>
            <w:shd w:val="clear" w:color="auto" w:fill="auto"/>
            <w:vAlign w:val="center"/>
          </w:tcPr>
          <w:p>
            <w:pPr>
              <w:jc w:val="center"/>
            </w:pPr>
          </w:p>
        </w:tc>
        <w:tc>
          <w:tcPr>
            <w:tcW w:w="113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pPr>
            <w:r>
              <w:rPr>
                <w:rFonts w:hint="eastAsia"/>
                <w:lang w:val="en-US" w:eastAsia="zh-CN"/>
              </w:rPr>
              <w:t>4-2 学生活动</w:t>
            </w:r>
          </w:p>
        </w:tc>
        <w:tc>
          <w:tcPr>
            <w:tcW w:w="4664"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left"/>
            </w:pPr>
            <w:r>
              <w:rPr>
                <w:rFonts w:hint="eastAsia"/>
                <w:lang w:val="en-US" w:eastAsia="zh-CN"/>
              </w:rPr>
              <w:t>学生在线学习响应度高，师生互动活跃。</w:t>
            </w:r>
          </w:p>
        </w:tc>
        <w:tc>
          <w:tcPr>
            <w:tcW w:w="301"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r>
              <w:rPr>
                <w:rFonts w:hint="eastAsia"/>
                <w:lang w:val="en-US" w:eastAsia="zh-CN"/>
              </w:rPr>
              <w:t>10分</w:t>
            </w:r>
          </w:p>
        </w:tc>
        <w:tc>
          <w:tcPr>
            <w:tcW w:w="40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43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40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40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450"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528" w:type="dxa"/>
            <w:vMerge w:val="restart"/>
            <w:tcBorders>
              <w:left w:val="single" w:color="A7A7A7" w:sz="6" w:space="0"/>
              <w:right w:val="single" w:color="A7A7A7" w:sz="6" w:space="0"/>
            </w:tcBorders>
            <w:shd w:val="clear" w:color="auto" w:fill="auto"/>
            <w:vAlign w:val="center"/>
          </w:tcPr>
          <w:p>
            <w:pPr>
              <w:jc w:val="center"/>
            </w:pPr>
            <w:r>
              <w:rPr>
                <w:rFonts w:hint="eastAsia"/>
                <w:lang w:val="en-US" w:eastAsia="zh-CN"/>
              </w:rPr>
              <w:t>五 应用效果与影响</w:t>
            </w:r>
          </w:p>
        </w:tc>
        <w:tc>
          <w:tcPr>
            <w:tcW w:w="113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pPr>
            <w:r>
              <w:rPr>
                <w:rFonts w:hint="eastAsia"/>
                <w:lang w:val="en-US" w:eastAsia="zh-CN"/>
              </w:rPr>
              <w:t>5-1 课程应用情况</w:t>
            </w:r>
          </w:p>
        </w:tc>
        <w:tc>
          <w:tcPr>
            <w:tcW w:w="4664"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left"/>
            </w:pPr>
            <w:r>
              <w:rPr>
                <w:rFonts w:hint="eastAsia"/>
                <w:lang w:val="en-US" w:eastAsia="zh-CN"/>
              </w:rPr>
              <w:t>将在线课程与课堂教学结合，推动教学改革，有效提高课堂教学质量。。</w:t>
            </w:r>
          </w:p>
        </w:tc>
        <w:tc>
          <w:tcPr>
            <w:tcW w:w="301"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r>
              <w:rPr>
                <w:rFonts w:hint="eastAsia"/>
                <w:lang w:val="en-US" w:eastAsia="zh-CN"/>
              </w:rPr>
              <w:t>10分</w:t>
            </w:r>
          </w:p>
        </w:tc>
        <w:tc>
          <w:tcPr>
            <w:tcW w:w="40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43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40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40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450"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28" w:type="dxa"/>
            <w:vMerge w:val="continue"/>
            <w:tcBorders>
              <w:left w:val="single" w:color="A7A7A7" w:sz="6" w:space="0"/>
              <w:bottom w:val="single" w:color="A7A7A7" w:sz="6" w:space="0"/>
              <w:right w:val="single" w:color="A7A7A7" w:sz="6" w:space="0"/>
            </w:tcBorders>
            <w:shd w:val="clear" w:color="auto" w:fill="auto"/>
            <w:vAlign w:val="center"/>
          </w:tcPr>
          <w:p>
            <w:pPr>
              <w:jc w:val="center"/>
            </w:pPr>
          </w:p>
        </w:tc>
        <w:tc>
          <w:tcPr>
            <w:tcW w:w="113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pPr>
            <w:r>
              <w:rPr>
                <w:rFonts w:hint="eastAsia"/>
                <w:lang w:val="en-US" w:eastAsia="zh-CN"/>
              </w:rPr>
              <w:t>5-2 应用共享情况</w:t>
            </w:r>
          </w:p>
        </w:tc>
        <w:tc>
          <w:tcPr>
            <w:tcW w:w="4664"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left"/>
            </w:pPr>
            <w:r>
              <w:rPr>
                <w:rFonts w:hint="eastAsia"/>
                <w:lang w:val="en-US" w:eastAsia="zh-CN"/>
              </w:rPr>
              <w:t>应用模式多样，应用效果好，受益教师和</w:t>
            </w:r>
            <w:bookmarkStart w:id="0" w:name="_GoBack"/>
            <w:bookmarkEnd w:id="0"/>
            <w:r>
              <w:rPr>
                <w:rFonts w:hint="eastAsia"/>
                <w:lang w:val="en-US" w:eastAsia="zh-CN"/>
              </w:rPr>
              <w:t>学生反馈评价高。</w:t>
            </w:r>
          </w:p>
        </w:tc>
        <w:tc>
          <w:tcPr>
            <w:tcW w:w="301"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r>
              <w:rPr>
                <w:rFonts w:hint="eastAsia"/>
                <w:lang w:val="en-US" w:eastAsia="zh-CN"/>
              </w:rPr>
              <w:t>15分</w:t>
            </w:r>
          </w:p>
        </w:tc>
        <w:tc>
          <w:tcPr>
            <w:tcW w:w="40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43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40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405"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c>
          <w:tcPr>
            <w:tcW w:w="450" w:type="dxa"/>
            <w:tcBorders>
              <w:top w:val="single" w:color="A7A7A7" w:sz="6" w:space="0"/>
              <w:left w:val="single" w:color="A7A7A7" w:sz="6" w:space="0"/>
              <w:bottom w:val="single" w:color="A7A7A7" w:sz="6" w:space="0"/>
              <w:right w:val="single" w:color="A7A7A7" w:sz="6" w:space="0"/>
            </w:tcBorders>
            <w:shd w:val="clear" w:color="auto" w:fill="auto"/>
            <w:vAlign w:val="center"/>
          </w:tcPr>
          <w:p>
            <w:pPr>
              <w:jc w:val="center"/>
              <w:rPr>
                <w:rFonts w:hint="eastAsia"/>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9C058F"/>
    <w:rsid w:val="0E6A6065"/>
    <w:rsid w:val="13BA1DD0"/>
    <w:rsid w:val="21A055FF"/>
    <w:rsid w:val="27F23299"/>
    <w:rsid w:val="3DA10562"/>
    <w:rsid w:val="51991D37"/>
    <w:rsid w:val="55783EDB"/>
    <w:rsid w:val="60FB4E9A"/>
    <w:rsid w:val="6381069F"/>
    <w:rsid w:val="6D535020"/>
    <w:rsid w:val="709C0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haohua\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Office_11.1.0.7987_F1E327BC-269C-435d-A152-05C5408002CA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2018-11-15T03:18:00Z</dcterms:created>
  <dc:creator>idchh</dc:creator>
  <cp:lastModifiedBy>idchh</cp:lastModifiedBy>
  <dcterms:modified xsi:type="dcterms:W3CDTF">2018-11-21T13:35:16Z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2052-11.1.0.7987</vt:lpwstr>
  </property>
</Properties>
</file>