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bidi w:val="0"/>
        <w:spacing w:line="360" w:lineRule="auto"/>
        <w:textAlignment w:val="auto"/>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kinsoku/>
        <w:wordWrap/>
        <w:topLinePunct w:val="0"/>
        <w:autoSpaceDE/>
        <w:bidi w:val="0"/>
        <w:spacing w:line="360" w:lineRule="auto"/>
        <w:jc w:val="center"/>
        <w:textAlignment w:val="auto"/>
        <w:rPr>
          <w:rFonts w:ascii="方正小标宋简体" w:eastAsia="方正小标宋简体" w:cs="宋体"/>
          <w:bCs/>
          <w:sz w:val="36"/>
          <w:szCs w:val="36"/>
        </w:rPr>
      </w:pPr>
      <w:bookmarkStart w:id="0" w:name="_GoBack"/>
      <w:r>
        <w:rPr>
          <w:rFonts w:hint="eastAsia" w:ascii="方正小标宋简体" w:hAnsi="仿宋" w:eastAsia="方正小标宋简体" w:cs="宋体"/>
          <w:bCs/>
          <w:sz w:val="36"/>
          <w:szCs w:val="36"/>
        </w:rPr>
        <w:t>有关</w:t>
      </w:r>
      <w:r>
        <w:rPr>
          <w:rFonts w:hint="eastAsia" w:ascii="方正小标宋简体" w:hAnsi="仿宋" w:eastAsia="方正小标宋简体" w:cs="宋体"/>
          <w:bCs/>
          <w:sz w:val="36"/>
          <w:szCs w:val="36"/>
          <w:lang w:val="en-US" w:eastAsia="zh-CN"/>
        </w:rPr>
        <w:t>文档材料</w:t>
      </w:r>
      <w:r>
        <w:rPr>
          <w:rFonts w:hint="eastAsia" w:ascii="方正小标宋简体" w:hAnsi="仿宋" w:eastAsia="方正小标宋简体" w:cs="宋体"/>
          <w:bCs/>
          <w:sz w:val="36"/>
          <w:szCs w:val="36"/>
        </w:rPr>
        <w:t>释义</w:t>
      </w:r>
    </w:p>
    <w:bookmarkEnd w:id="0"/>
    <w:p>
      <w:pPr>
        <w:keepNext w:val="0"/>
        <w:keepLines w:val="0"/>
        <w:pageBreakBefore w:val="0"/>
        <w:widowControl w:val="0"/>
        <w:kinsoku/>
        <w:wordWrap/>
        <w:topLinePunct w:val="0"/>
        <w:autoSpaceDE/>
        <w:bidi w:val="0"/>
        <w:spacing w:line="360" w:lineRule="auto"/>
        <w:jc w:val="center"/>
        <w:textAlignment w:val="auto"/>
        <w:rPr>
          <w:rFonts w:hint="eastAsia" w:ascii="方正小标宋简体" w:hAnsi="仿宋" w:eastAsia="方正小标宋简体" w:cs="宋体"/>
          <w:bCs/>
          <w:sz w:val="36"/>
          <w:szCs w:val="36"/>
        </w:rPr>
      </w:pPr>
    </w:p>
    <w:p>
      <w:pPr>
        <w:keepNext w:val="0"/>
        <w:keepLines w:val="0"/>
        <w:pageBreakBefore w:val="0"/>
        <w:widowControl w:val="0"/>
        <w:kinsoku/>
        <w:wordWrap/>
        <w:topLinePunct w:val="0"/>
        <w:autoSpaceDE/>
        <w:autoSpaceDN w:val="0"/>
        <w:bidi w:val="0"/>
        <w:spacing w:line="360" w:lineRule="auto"/>
        <w:ind w:firstLine="640" w:firstLineChars="200"/>
        <w:textAlignment w:val="auto"/>
        <w:rPr>
          <w:rFonts w:eastAsia="仿宋_GB2312"/>
          <w:kern w:val="0"/>
          <w:sz w:val="32"/>
          <w:szCs w:val="32"/>
        </w:rPr>
      </w:pPr>
      <w:r>
        <w:rPr>
          <w:rFonts w:eastAsia="仿宋_GB2312"/>
          <w:kern w:val="0"/>
          <w:sz w:val="32"/>
          <w:szCs w:val="32"/>
          <w:lang w:bidi="ar"/>
        </w:rPr>
        <w:t>文档材料包括人才培养方案、课程标准、参赛教案、教材、教学实施报告等。所有文档材料均要求规范、简明、完整、朴实，正文使用小四号字，单倍行距，禁用以装饰为目的的图片或照片。每个文件分别以“人才培养方案”“课程标准”“教案”“教材”“报告”为最后主题词，以PDF格式提交，每个文件大小不超过100M。</w:t>
      </w:r>
    </w:p>
    <w:p>
      <w:pPr>
        <w:keepNext w:val="0"/>
        <w:keepLines w:val="0"/>
        <w:pageBreakBefore w:val="0"/>
        <w:widowControl w:val="0"/>
        <w:kinsoku/>
        <w:wordWrap/>
        <w:topLinePunct w:val="0"/>
        <w:autoSpaceDE/>
        <w:autoSpaceDN w:val="0"/>
        <w:bidi w:val="0"/>
        <w:spacing w:line="360" w:lineRule="auto"/>
        <w:ind w:firstLine="643" w:firstLineChars="200"/>
        <w:textAlignment w:val="auto"/>
        <w:rPr>
          <w:rFonts w:eastAsia="仿宋_GB2312"/>
          <w:kern w:val="0"/>
          <w:sz w:val="32"/>
          <w:szCs w:val="32"/>
        </w:rPr>
      </w:pPr>
      <w:r>
        <w:rPr>
          <w:rFonts w:hint="eastAsia" w:ascii="楷体" w:hAnsi="楷体" w:eastAsia="楷体" w:cs="楷体"/>
          <w:b/>
          <w:bCs/>
          <w:kern w:val="0"/>
          <w:sz w:val="32"/>
          <w:szCs w:val="32"/>
          <w:lang w:bidi="ar"/>
        </w:rPr>
        <w:t>（1）专业人才培养方案。</w:t>
      </w:r>
      <w:r>
        <w:rPr>
          <w:rFonts w:eastAsia="仿宋_GB2312"/>
          <w:kern w:val="0"/>
          <w:sz w:val="32"/>
          <w:szCs w:val="32"/>
          <w:lang w:bidi="ar"/>
        </w:rPr>
        <w:t>教学团队提交学校实际使用的专业人才培养方案。专业人才培养方案应按照《教育部关于印发〈职业教育专业目录（2021年）〉的通知》（教职成〔2021〕2号）、《教育部关于职业院校专业人才培养方案制订与实施工作的指导意见》（教职成〔2019〕13号）和《关于组织做好职业院校专业人才培养方案制订与实施工作的通知》（教职成司函〔2019〕61号）有关要求修订完善，中职专业人才培养方案还应落实《中等职业学校公共基础课程方案》（教职成厅〔2019〕6号）和公共基础课程标准有关要求。公共基础课程只需提交实际开设该课程的其中一个专业的人才培养方案。</w:t>
      </w:r>
    </w:p>
    <w:p>
      <w:pPr>
        <w:keepNext w:val="0"/>
        <w:keepLines w:val="0"/>
        <w:pageBreakBefore w:val="0"/>
        <w:widowControl w:val="0"/>
        <w:kinsoku/>
        <w:wordWrap/>
        <w:topLinePunct w:val="0"/>
        <w:autoSpaceDE/>
        <w:autoSpaceDN w:val="0"/>
        <w:bidi w:val="0"/>
        <w:spacing w:line="360" w:lineRule="auto"/>
        <w:ind w:firstLine="643" w:firstLineChars="200"/>
        <w:textAlignment w:val="auto"/>
        <w:rPr>
          <w:rFonts w:eastAsia="仿宋_GB2312"/>
          <w:kern w:val="0"/>
          <w:sz w:val="32"/>
          <w:szCs w:val="32"/>
        </w:rPr>
      </w:pPr>
      <w:r>
        <w:rPr>
          <w:rFonts w:hint="eastAsia" w:ascii="楷体" w:hAnsi="楷体" w:eastAsia="楷体" w:cs="楷体"/>
          <w:b/>
          <w:bCs/>
          <w:kern w:val="0"/>
          <w:sz w:val="32"/>
          <w:szCs w:val="32"/>
          <w:lang w:bidi="ar"/>
        </w:rPr>
        <w:t>（2）课程标准。</w:t>
      </w:r>
      <w:r>
        <w:rPr>
          <w:rFonts w:eastAsia="仿宋_GB2312"/>
          <w:kern w:val="0"/>
          <w:sz w:val="32"/>
          <w:szCs w:val="32"/>
          <w:lang w:bidi="ar"/>
        </w:rPr>
        <w:t>教学团队提交参赛作品实际使用的课程标准。课程标准应按照专业人才培养方案，依据职业教育国家教学标准体系中的相关标准要求科学、规范制定。课程标准应明确课程性质与任务、课程要求与目标、课程结构、课程内容、学生考核与评价、课程实施以及时间进度安排等，并附某一班级授课计划表（注明授课日期、学时）。多个授课班级只需提交其中一份课程标准。</w:t>
      </w:r>
    </w:p>
    <w:p>
      <w:pPr>
        <w:keepNext w:val="0"/>
        <w:keepLines w:val="0"/>
        <w:pageBreakBefore w:val="0"/>
        <w:widowControl w:val="0"/>
        <w:kinsoku/>
        <w:wordWrap/>
        <w:topLinePunct w:val="0"/>
        <w:autoSpaceDE/>
        <w:autoSpaceDN w:val="0"/>
        <w:bidi w:val="0"/>
        <w:spacing w:line="360" w:lineRule="auto"/>
        <w:ind w:firstLine="643" w:firstLineChars="200"/>
        <w:textAlignment w:val="auto"/>
        <w:rPr>
          <w:rFonts w:eastAsia="仿宋_GB2312"/>
          <w:kern w:val="0"/>
          <w:sz w:val="32"/>
          <w:szCs w:val="32"/>
        </w:rPr>
      </w:pPr>
      <w:r>
        <w:rPr>
          <w:rFonts w:hint="eastAsia" w:ascii="楷体" w:hAnsi="楷体" w:eastAsia="楷体" w:cs="楷体"/>
          <w:b/>
          <w:bCs/>
          <w:kern w:val="0"/>
          <w:sz w:val="32"/>
          <w:szCs w:val="32"/>
          <w:lang w:bidi="ar"/>
        </w:rPr>
        <w:t>（3）参赛教案。</w:t>
      </w:r>
      <w:r>
        <w:rPr>
          <w:rFonts w:eastAsia="仿宋_GB2312"/>
          <w:kern w:val="0"/>
          <w:sz w:val="32"/>
          <w:szCs w:val="32"/>
          <w:lang w:bidi="ar"/>
        </w:rPr>
        <w:t>教学团队根据提交的专业人才培养方案和课程标准，选取该课程在一个学期中符合规定的教学任务作为参赛作品（作品名称应为课程标准中具体、明确的模块、单元或任务），撰写实际使用的教案。公共基础课程教学内容应突出思想性、注重基础性、体现职业性、反映时代性；专业（技能）课程教学内容应对接新技术、新工艺、新规范，涉及1+X证书制度试点的专业，还应对接有关职业技能等级标准；应结合学科、专业特点，有机融入劳动教育内容，积极践行课程思政。教案应包括授课信息、任务目标、学情分析、活动安排、课后反思等教学基本要素，设计合理、重点突出、前后衔接、规范完整、详略得当，能够有效指导教学活动的实施，应当侧重体现具体的教学内容和过程安排，课后对授课实效、存在不足、改进设想进行客观深入反思。每份教案的教学内容原则上以2-4学时/次为宜，每件参赛作品的全部教案按序逐一标明序号，合并为一个文件提交。</w:t>
      </w:r>
    </w:p>
    <w:p>
      <w:pPr>
        <w:keepNext w:val="0"/>
        <w:keepLines w:val="0"/>
        <w:pageBreakBefore w:val="0"/>
        <w:widowControl w:val="0"/>
        <w:kinsoku/>
        <w:wordWrap/>
        <w:topLinePunct w:val="0"/>
        <w:autoSpaceDE/>
        <w:autoSpaceDN w:val="0"/>
        <w:bidi w:val="0"/>
        <w:spacing w:line="360" w:lineRule="auto"/>
        <w:ind w:firstLine="643" w:firstLineChars="200"/>
        <w:textAlignment w:val="auto"/>
        <w:rPr>
          <w:rFonts w:eastAsia="仿宋_GB2312"/>
          <w:kern w:val="0"/>
          <w:sz w:val="32"/>
          <w:szCs w:val="32"/>
        </w:rPr>
      </w:pPr>
      <w:r>
        <w:rPr>
          <w:rFonts w:hint="eastAsia" w:ascii="楷体" w:hAnsi="楷体" w:eastAsia="楷体" w:cs="楷体"/>
          <w:b/>
          <w:bCs/>
          <w:kern w:val="0"/>
          <w:sz w:val="32"/>
          <w:szCs w:val="32"/>
          <w:lang w:bidi="ar"/>
        </w:rPr>
        <w:t>（4）教材。</w:t>
      </w:r>
      <w:r>
        <w:rPr>
          <w:rFonts w:eastAsia="仿宋_GB2312"/>
          <w:kern w:val="0"/>
          <w:sz w:val="32"/>
          <w:szCs w:val="32"/>
          <w:lang w:bidi="ar"/>
        </w:rPr>
        <w:t>教材的选用和使用必须遵照、遵循教育部《职业院校教材管理办法》和省教育厅《江苏省职业院校教材管理实施细则》等规定和要求，并提供所选教材封面、封底、目录、出版信息及与参赛内容相关的章节等，合并为一个文件提交。</w:t>
      </w:r>
    </w:p>
    <w:p>
      <w:pPr>
        <w:keepNext w:val="0"/>
        <w:keepLines w:val="0"/>
        <w:pageBreakBefore w:val="0"/>
        <w:widowControl w:val="0"/>
        <w:kinsoku/>
        <w:wordWrap/>
        <w:topLinePunct w:val="0"/>
        <w:autoSpaceDE/>
        <w:autoSpaceDN w:val="0"/>
        <w:bidi w:val="0"/>
        <w:spacing w:line="360" w:lineRule="auto"/>
        <w:ind w:firstLine="643" w:firstLineChars="200"/>
        <w:textAlignment w:val="auto"/>
        <w:rPr>
          <w:rFonts w:hint="eastAsia" w:eastAsia="仿宋_GB2312"/>
          <w:kern w:val="0"/>
          <w:sz w:val="32"/>
          <w:szCs w:val="32"/>
          <w:lang w:val="en-US" w:eastAsia="zh-CN"/>
        </w:rPr>
      </w:pPr>
      <w:r>
        <w:rPr>
          <w:rFonts w:hint="eastAsia" w:ascii="楷体" w:hAnsi="楷体" w:eastAsia="楷体" w:cs="楷体"/>
          <w:b/>
          <w:bCs/>
          <w:kern w:val="0"/>
          <w:sz w:val="32"/>
          <w:szCs w:val="32"/>
          <w:lang w:bidi="ar"/>
        </w:rPr>
        <w:t>（5）教学实施报告。</w:t>
      </w:r>
      <w:r>
        <w:rPr>
          <w:rFonts w:eastAsia="仿宋_GB2312"/>
          <w:kern w:val="0"/>
          <w:sz w:val="32"/>
          <w:szCs w:val="32"/>
          <w:lang w:bidi="ar"/>
        </w:rPr>
        <w:t>教学团队在完成教学设计和实施之后，撰写1份教学实施报告。报告应梳理总结参赛作品的教学整体设计、教学实施过程、学生学习效果、反思改进措施等方面情况，突出重点和特色，体现创新举措和具体成效，如在疫情防控期间实施线上教学的要及时总结相关经验。中文字符控制在5000字以内（文末注明正文“中文字符统计数”），插入的佐证图表应有针对性、有效性，尺寸合适、清晰可见，一般不超过12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ZjY4NGI0YjgzYTlmYzRiOTYzMWY3MDM2YTAxMWMifQ=="/>
  </w:docVars>
  <w:rsids>
    <w:rsidRoot w:val="00000000"/>
    <w:rsid w:val="651C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2023-02-20T03:01:17Z</dcterms:created>
  <dc:creator>ywy</dc:creator>
  <cp:lastModifiedBy>唯一</cp:lastModifiedBy>
  <dcterms:modified xsi:type="dcterms:W3CDTF">2023-02-20T03:01:25Z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865B32C9B1F44A64BB2592A711504327</vt:lpwstr>
  </property>
</Properties>
</file>